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600" w:lineRule="atLeast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附件3：</w:t>
      </w:r>
    </w:p>
    <w:p>
      <w:pPr>
        <w:pStyle w:val="6"/>
        <w:adjustRightInd w:val="0"/>
        <w:snapToGrid w:val="0"/>
        <w:spacing w:line="600" w:lineRule="atLeast"/>
        <w:ind w:firstLine="4360" w:firstLineChars="1000"/>
        <w:jc w:val="both"/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深圳市优秀年鉴评比活动量化评分表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  <w:lang w:val="en-US" w:eastAsia="zh-CN"/>
        </w:rPr>
        <w:t>（2022年6月）</w:t>
      </w:r>
    </w:p>
    <w:p>
      <w:pPr>
        <w:jc w:val="left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年鉴名称</w:t>
      </w:r>
      <w:r>
        <w:rPr>
          <w:rFonts w:hint="eastAsia"/>
          <w:sz w:val="28"/>
          <w:szCs w:val="28"/>
        </w:rPr>
        <w:t>：</w:t>
      </w:r>
      <w:r>
        <w:rPr>
          <w:rFonts w:hint="default"/>
          <w:sz w:val="28"/>
          <w:szCs w:val="28"/>
          <w:u w:val="single"/>
          <w:lang w:val="en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sz w:val="28"/>
          <w:szCs w:val="28"/>
          <w:u w:val="single"/>
          <w:lang w:val="e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val="e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/>
          <w:sz w:val="28"/>
          <w:szCs w:val="28"/>
          <w:u w:val="single"/>
          <w:lang w:val="e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/>
          <w:sz w:val="28"/>
          <w:szCs w:val="28"/>
          <w:u w:val="single"/>
          <w:lang w:val="en"/>
        </w:rPr>
        <w:t xml:space="preserve">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报送单位</w:t>
      </w:r>
      <w:r>
        <w:rPr>
          <w:rFonts w:hint="eastAsia"/>
          <w:sz w:val="28"/>
          <w:szCs w:val="28"/>
        </w:rPr>
        <w:t>：</w:t>
      </w:r>
      <w:r>
        <w:rPr>
          <w:rFonts w:hint="default"/>
          <w:sz w:val="28"/>
          <w:szCs w:val="28"/>
          <w:u w:val="single"/>
          <w:lang w:val="en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/>
          <w:sz w:val="28"/>
          <w:szCs w:val="28"/>
          <w:u w:val="single"/>
          <w:lang w:val="e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/>
          <w:sz w:val="28"/>
          <w:szCs w:val="28"/>
          <w:u w:val="single"/>
          <w:lang w:val="en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val="e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/>
          <w:sz w:val="28"/>
          <w:szCs w:val="28"/>
          <w:u w:val="single"/>
          <w:lang w:val="e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总得分</w:t>
      </w:r>
      <w:r>
        <w:rPr>
          <w:rFonts w:hint="eastAsia"/>
          <w:sz w:val="28"/>
          <w:szCs w:val="28"/>
        </w:rPr>
        <w:t>：</w:t>
      </w:r>
      <w:r>
        <w:rPr>
          <w:rFonts w:hint="default"/>
          <w:sz w:val="28"/>
          <w:szCs w:val="28"/>
          <w:u w:val="single"/>
          <w:lang w:val="en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480"/>
        <w:gridCol w:w="750"/>
        <w:gridCol w:w="6767"/>
        <w:gridCol w:w="705"/>
        <w:gridCol w:w="2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序号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分项标准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项目分值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评分方法与打分标准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项目得分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原则性项目，出现问题一票否决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政治观点错误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违反党和国家的民族政策、宗教政策、对外政策及对港澳台政策等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违反国家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有关法律法规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/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检查统一战线、外事、侨务、港澳事务、对台工作、民主党派、对外贸易、民族、宗教等栏目内容。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内容违反保密规定，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刊载违法违纪官员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醒目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照片或收录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大段言论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/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重点检查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军事类栏目、彩页与内文插图。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差错率超过万分之一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/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随机抽查5万字（不含重要文献、彩页、附录、索引等）。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14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规范化项目，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总分值100分（扣分制，单项扣满为止）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框架覆盖全面、分类科学、层次清晰、领属得当、编排有序，各层次标题简洁、准确、规范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1.检查全书大纲设计及各部类目结构层次设计。分类存在一定问题的扣1-3分。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2.检查全书目录编排是否体现系统性、逻辑性。层次不清、前后内容存在明显重复问题者扣1-3分。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3.检查全书目录各层次标题。类目、栏目、分目标题不符合要求，发现一处扣0.2分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条目选题选材有效、新颖、准确、系统，信息含量较大，记述要素齐全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分别抽查政治、经济、文化、社会部类的概况和词性条目各5个，重点检查条目是否具有独立主题，条目标题与条目内容的内涵和外延是否统一，标题标引是否准确、简练。立题不当、标旨冗长、标题与内容不一致扣1-3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分别抽查政治、经济、文化、社会部类的概况和记事性条目各5个，重点检查时间、地点、人物、事件、结果等要素是否齐备，条目所反映的信息资料或知识是否完整。要素缺一项扣1分；资料反映不完整扣1-2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资料准确，内容真实、客观反映取得的成绩和存在的问题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分别抽查政治、经济、文化、社会部类的概况和条目。内容记述违背存真求实原则的扣2-5分；统计口径不一致的扣2分。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突出反映党委政府中心工作，具有为现实服务的价值和存史的价值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内容的整体设计指导思想是否正确，是否体现科学发展思想，抽查政治建设、经济建设、社会建设、文化建设、生态建设和统计指标部分内容。其中，节能减排、环境保护、关注民生等重点内容记述不充分者扣2-5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大事记、图片、表格、名录等表现形式配合得当、使用规范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检查图、记、表、录等体例，一二三次文献比例，反映内容点面结合、动静结合，是否具有资料价值。无适时性地图的扣1分；表格形式不规范、一次文献选择不典型、综述情况反映不全者扣2-5分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使用记叙文、说明文等文体，文风朴实，记述流畅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分别抽查政治、经济、文化、社会部类的概况和记事性条目各5个，重点检查内容表述是否符合年鉴编纂体例要求，是否符合现代汉语语言规范。存在语法错误或病句，表述拖泥带水或内容空洞无物的扣1-3分。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语言文字、标点符号、数字、计量单位、术语使用等符合国家标准及规范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抽查政治、经济、文化、社会部类条目各5个，检查名称、数字、计量单位是否符合出版物标准。称谓使用不当，时间概念模糊，数量词书写不规范统一，发现一处扣0.5分。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具有完备的检索系统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抽查目录、索引，并与其正文对照。页码对照有误或目录与正文内容不一致扣2分；主题词标引不规范扣2分。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全书图文版权清晰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图文版权不清晰的每处扣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0.5。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装祯设计美观大方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1.封面有明显商业色彩的扣0.5分；封页和书名页版式不符合图书或期刊出版规定的扣1分。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2.公益性年度图片题材反映平淡扣0.5分，图片要素不全扣0.5分，图片编排缺乏新意扣0.5分；广告类彩页篇幅失当、商业色彩过浓扣0.5分；随文图片不切题扣0.5分。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3.页眉标引错误扣0.5分。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4.同一层次标题字体、字号不统一扣0.5分；目录层次不清晰扣0.5分。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版面信息容量较大、留白较少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版面空白在1/3以上，发现一处扣0.5分，最高扣3分；版式设计缺乏个性、疏密处理不当扣1分。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" w:eastAsia="zh-CN"/>
              </w:rPr>
              <w:t>创新类项目，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附加分10分（加分制，单项加满为止）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能凸显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部门或行业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内容结合年度热点，设置扶贫、抗疫等专辑，每项加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及时根据政策增加退役军人名录，加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充分展示地方（行业）特色，每项加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1分，最高2分。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装帧设计能体现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部门或行业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特色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装帧设计时尚新颖，整体设计能体现年度、城市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部门或行业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特色，可酌情加1-2分。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其他内容与设计类的创新亮点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每个创新项目可加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1分，总分不超3分。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90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F8C4"/>
    <w:rsid w:val="41FC72ED"/>
    <w:rsid w:val="CFFFF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2022-06-10T17:24:00Z</dcterms:created>
  <dc:creator>9</dc:creator>
  <cp:lastModifiedBy>吴绍兵</cp:lastModifiedBy>
  <dcterms:modified xsi:type="dcterms:W3CDTF">2022-06-10T10:23:49Z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